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A0" w:rsidRDefault="00317FC0" w:rsidP="00A256F1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                                          </w:t>
      </w:r>
    </w:p>
    <w:p w:rsidR="003057A0" w:rsidRDefault="00382180" w:rsidP="00A256F1">
      <w:pPr>
        <w:spacing w:line="360" w:lineRule="auto"/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52640C95">
            <wp:extent cx="5708650" cy="115097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06" cy="1152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B3C" w:rsidRPr="00382180" w:rsidRDefault="003963D4" w:rsidP="00382180">
      <w:pPr>
        <w:spacing w:line="360" w:lineRule="auto"/>
        <w:jc w:val="center"/>
        <w:rPr>
          <w:b/>
          <w:lang w:val="en-GB"/>
        </w:rPr>
      </w:pPr>
      <w:r w:rsidRPr="003963D4">
        <w:rPr>
          <w:b/>
          <w:noProof/>
          <w:lang w:val="en-GB" w:eastAsia="en-GB"/>
        </w:rPr>
        <mc:AlternateContent>
          <mc:Choice Requires="wps">
            <w:drawing>
              <wp:inline distT="0" distB="0" distL="0" distR="0" wp14:anchorId="6869BE4B" wp14:editId="3BB627BA">
                <wp:extent cx="304800" cy="304800"/>
                <wp:effectExtent l="0" t="0" r="0" b="0"/>
                <wp:docPr id="3" name="Rechthoek 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7BCA0" id="Rechthoek 3" o:spid="_x0000_s1026" alt="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2wtqsTAIA&#10;AFAEAAAOAAAAAAAAAAAAAAAAAC4CAABkcnMvZTJvRG9jLnhtbFBLAQItABQABgAIAAAAIQBMoOks&#10;2AAAAAMBAAAPAAAAAAAAAAAAAAAAAKYEAABkcnMvZG93bnJldi54bWxQSwUGAAAAAAQABADzAAAA&#10;qwUAAAAA&#10;" filled="f" stroked="f">
                <o:lock v:ext="edit" aspectratio="t"/>
                <w10:anchorlock/>
              </v:rect>
            </w:pict>
          </mc:Fallback>
        </mc:AlternateContent>
      </w:r>
      <w:r w:rsidR="00D17BB3" w:rsidRPr="007E78C9">
        <w:rPr>
          <w:b/>
          <w:sz w:val="32"/>
          <w:lang w:val="en-GB"/>
        </w:rPr>
        <w:t>Innovati</w:t>
      </w:r>
      <w:r w:rsidR="009A1364" w:rsidRPr="007E78C9">
        <w:rPr>
          <w:b/>
          <w:sz w:val="32"/>
          <w:lang w:val="en-GB"/>
        </w:rPr>
        <w:t>ng</w:t>
      </w:r>
      <w:r w:rsidR="00D17BB3" w:rsidRPr="007E78C9">
        <w:rPr>
          <w:b/>
          <w:sz w:val="32"/>
          <w:lang w:val="en-GB"/>
        </w:rPr>
        <w:t xml:space="preserve"> B</w:t>
      </w:r>
      <w:r w:rsidR="00D17BB3" w:rsidRPr="005261B1">
        <w:rPr>
          <w:b/>
          <w:sz w:val="32"/>
          <w:lang w:val="en-GB"/>
        </w:rPr>
        <w:t>usiness</w:t>
      </w:r>
      <w:r w:rsidR="00D17BB3" w:rsidRPr="00317FC0">
        <w:rPr>
          <w:b/>
          <w:sz w:val="32"/>
          <w:lang w:val="en-GB"/>
        </w:rPr>
        <w:t xml:space="preserve"> Courts: a European Outlook</w:t>
      </w:r>
    </w:p>
    <w:p w:rsidR="00D17BB3" w:rsidRDefault="00D17BB3" w:rsidP="00A256F1">
      <w:pPr>
        <w:spacing w:line="360" w:lineRule="auto"/>
        <w:rPr>
          <w:lang w:val="en-GB"/>
        </w:rPr>
      </w:pPr>
    </w:p>
    <w:p w:rsidR="009A1364" w:rsidRPr="00510B2B" w:rsidRDefault="009A1364" w:rsidP="00E0197F">
      <w:pPr>
        <w:spacing w:line="288" w:lineRule="auto"/>
        <w:jc w:val="both"/>
        <w:rPr>
          <w:lang w:val="en-GB"/>
        </w:rPr>
      </w:pPr>
      <w:r w:rsidRPr="00510B2B">
        <w:rPr>
          <w:i/>
          <w:lang w:val="en-GB"/>
        </w:rPr>
        <w:t>Seminar org</w:t>
      </w:r>
      <w:r w:rsidR="005261B1">
        <w:rPr>
          <w:i/>
          <w:lang w:val="en-GB"/>
        </w:rPr>
        <w:t xml:space="preserve">anised by </w:t>
      </w:r>
      <w:hyperlink r:id="rId6" w:history="1">
        <w:r w:rsidR="005261B1" w:rsidRPr="00382180">
          <w:rPr>
            <w:rStyle w:val="Hyperlink"/>
            <w:i/>
            <w:lang w:val="en-GB"/>
          </w:rPr>
          <w:t>Erasmus School of Law</w:t>
        </w:r>
      </w:hyperlink>
      <w:r w:rsidR="005261B1">
        <w:rPr>
          <w:i/>
          <w:lang w:val="en-GB"/>
        </w:rPr>
        <w:t xml:space="preserve"> under the ERC project ‘</w:t>
      </w:r>
      <w:hyperlink r:id="rId7" w:history="1">
        <w:r w:rsidR="005261B1" w:rsidRPr="00382180">
          <w:rPr>
            <w:rStyle w:val="Hyperlink"/>
            <w:i/>
            <w:lang w:val="en-GB"/>
          </w:rPr>
          <w:t>Building EU Civil Justice</w:t>
        </w:r>
      </w:hyperlink>
      <w:r w:rsidR="00382180">
        <w:rPr>
          <w:i/>
          <w:lang w:val="en-GB"/>
        </w:rPr>
        <w:t>’</w:t>
      </w:r>
      <w:r w:rsidR="005261B1">
        <w:rPr>
          <w:i/>
          <w:lang w:val="en-GB"/>
        </w:rPr>
        <w:t xml:space="preserve"> </w:t>
      </w:r>
      <w:r>
        <w:rPr>
          <w:i/>
          <w:lang w:val="en-GB"/>
        </w:rPr>
        <w:t xml:space="preserve">(Erasmus University Rotterdam), </w:t>
      </w:r>
      <w:r w:rsidRPr="00510B2B">
        <w:rPr>
          <w:i/>
          <w:lang w:val="en-GB"/>
        </w:rPr>
        <w:t xml:space="preserve">the </w:t>
      </w:r>
      <w:hyperlink r:id="rId8" w:history="1">
        <w:r w:rsidRPr="001229A0">
          <w:rPr>
            <w:rStyle w:val="Hyperlink"/>
            <w:i/>
            <w:lang w:val="en-GB"/>
          </w:rPr>
          <w:t>Max Planck Institute for Procedural Law</w:t>
        </w:r>
      </w:hyperlink>
      <w:r w:rsidRPr="00510B2B">
        <w:rPr>
          <w:i/>
          <w:lang w:val="en-GB"/>
        </w:rPr>
        <w:t xml:space="preserve"> Luxembourg</w:t>
      </w:r>
      <w:r>
        <w:rPr>
          <w:i/>
          <w:lang w:val="en-GB"/>
        </w:rPr>
        <w:t xml:space="preserve">, and the </w:t>
      </w:r>
      <w:hyperlink r:id="rId9" w:history="1">
        <w:r w:rsidRPr="001229A0">
          <w:rPr>
            <w:rStyle w:val="Hyperlink"/>
            <w:i/>
            <w:lang w:val="en-GB"/>
          </w:rPr>
          <w:t>Montaigne Centre</w:t>
        </w:r>
      </w:hyperlink>
      <w:r w:rsidRPr="008F6432">
        <w:rPr>
          <w:i/>
          <w:lang w:val="en-GB"/>
        </w:rPr>
        <w:t xml:space="preserve"> for Judicial Administration and Conflict Resolution</w:t>
      </w:r>
      <w:r>
        <w:rPr>
          <w:i/>
          <w:lang w:val="en-GB"/>
        </w:rPr>
        <w:t xml:space="preserve"> (Utrecht University)</w:t>
      </w:r>
    </w:p>
    <w:p w:rsidR="009A1364" w:rsidRDefault="009A1364" w:rsidP="00E0197F">
      <w:pPr>
        <w:spacing w:line="288" w:lineRule="auto"/>
        <w:rPr>
          <w:lang w:val="en-GB"/>
        </w:rPr>
      </w:pPr>
    </w:p>
    <w:p w:rsidR="009A1364" w:rsidRDefault="009A1364" w:rsidP="00E0197F">
      <w:pPr>
        <w:spacing w:line="288" w:lineRule="auto"/>
        <w:jc w:val="both"/>
        <w:rPr>
          <w:lang w:val="en-GB"/>
        </w:rPr>
      </w:pPr>
      <w:r w:rsidRPr="00007603">
        <w:rPr>
          <w:lang w:val="en-GB"/>
        </w:rPr>
        <w:t xml:space="preserve">A number of Member States have recently established or are in the process of establishing </w:t>
      </w:r>
      <w:r w:rsidR="00FB005D" w:rsidRPr="00007603">
        <w:rPr>
          <w:lang w:val="en-GB"/>
        </w:rPr>
        <w:t>speciali</w:t>
      </w:r>
      <w:r w:rsidR="00FB005D">
        <w:rPr>
          <w:lang w:val="en-GB"/>
        </w:rPr>
        <w:t>s</w:t>
      </w:r>
      <w:r w:rsidR="00FB005D" w:rsidRPr="00007603">
        <w:rPr>
          <w:lang w:val="en-GB"/>
        </w:rPr>
        <w:t xml:space="preserve">ed </w:t>
      </w:r>
      <w:r w:rsidRPr="00007603">
        <w:rPr>
          <w:lang w:val="en-GB"/>
        </w:rPr>
        <w:t>commercial courts to facilitate international business litiga</w:t>
      </w:r>
      <w:r>
        <w:rPr>
          <w:lang w:val="en-GB"/>
        </w:rPr>
        <w:t>tion</w:t>
      </w:r>
      <w:r w:rsidRPr="00007603">
        <w:rPr>
          <w:lang w:val="en-GB"/>
        </w:rPr>
        <w:t>.</w:t>
      </w:r>
      <w:r>
        <w:rPr>
          <w:lang w:val="en-GB"/>
        </w:rPr>
        <w:t xml:space="preserve"> </w:t>
      </w:r>
      <w:r w:rsidRPr="0065325C">
        <w:rPr>
          <w:lang w:val="en-GB"/>
        </w:rPr>
        <w:t>These initiatives</w:t>
      </w:r>
      <w:r>
        <w:rPr>
          <w:lang w:val="en-GB"/>
        </w:rPr>
        <w:t xml:space="preserve"> can have a profound impact on the litigation landscape in Europe as well as </w:t>
      </w:r>
      <w:r w:rsidR="00FB005D">
        <w:rPr>
          <w:lang w:val="en-GB"/>
        </w:rPr>
        <w:t xml:space="preserve">on </w:t>
      </w:r>
      <w:r>
        <w:rPr>
          <w:lang w:val="en-GB"/>
        </w:rPr>
        <w:t xml:space="preserve">the efficiency and effectivity of justice systems. In February 2018, the French Ministry of Justice inaugurated the International Commercial Chamber within the Paris Court of </w:t>
      </w:r>
      <w:r w:rsidR="00575CD2">
        <w:rPr>
          <w:lang w:val="en-GB"/>
        </w:rPr>
        <w:t>Appeal</w:t>
      </w:r>
      <w:r>
        <w:rPr>
          <w:lang w:val="en-GB"/>
        </w:rPr>
        <w:t xml:space="preserve">. </w:t>
      </w:r>
      <w:r w:rsidR="00FB005D">
        <w:rPr>
          <w:lang w:val="en-GB"/>
        </w:rPr>
        <w:t xml:space="preserve">A few </w:t>
      </w:r>
      <w:r>
        <w:rPr>
          <w:lang w:val="en-GB"/>
        </w:rPr>
        <w:t xml:space="preserve">weeks later, the Dutch House of Representatives </w:t>
      </w:r>
      <w:r w:rsidR="005261B1">
        <w:rPr>
          <w:lang w:val="en-GB"/>
        </w:rPr>
        <w:t xml:space="preserve">adopted the proposal creating </w:t>
      </w:r>
      <w:r>
        <w:rPr>
          <w:lang w:val="en-GB"/>
        </w:rPr>
        <w:t xml:space="preserve">the Netherlands Commercial Court (NCC), which </w:t>
      </w:r>
      <w:r w:rsidR="005261B1">
        <w:rPr>
          <w:lang w:val="en-GB"/>
        </w:rPr>
        <w:t xml:space="preserve">will </w:t>
      </w:r>
      <w:r>
        <w:rPr>
          <w:lang w:val="en-GB"/>
        </w:rPr>
        <w:t xml:space="preserve">open its doors on 1 July 2018. In parallel, Belgium is discussing the creation of the Brussels International Business Court (BIBC), </w:t>
      </w:r>
      <w:r w:rsidR="00A426A4">
        <w:rPr>
          <w:lang w:val="en-GB"/>
        </w:rPr>
        <w:t xml:space="preserve">while </w:t>
      </w:r>
      <w:r>
        <w:rPr>
          <w:lang w:val="en-GB"/>
        </w:rPr>
        <w:t>an initiative has been launched in Germany to strengthen Frankfurt as a go-to</w:t>
      </w:r>
      <w:r w:rsidR="00FB005D">
        <w:rPr>
          <w:lang w:val="en-GB"/>
        </w:rPr>
        <w:t xml:space="preserve"> </w:t>
      </w:r>
      <w:r>
        <w:rPr>
          <w:lang w:val="en-GB"/>
        </w:rPr>
        <w:t xml:space="preserve">point for commercial litigation in Europe (the Frankfurt Initiative). </w:t>
      </w:r>
    </w:p>
    <w:p w:rsidR="009A1364" w:rsidRDefault="00A426A4" w:rsidP="00E0197F">
      <w:pPr>
        <w:spacing w:line="288" w:lineRule="auto"/>
        <w:jc w:val="both"/>
        <w:rPr>
          <w:lang w:val="en-GB"/>
        </w:rPr>
      </w:pPr>
      <w:r>
        <w:rPr>
          <w:lang w:val="en-GB"/>
        </w:rPr>
        <w:t xml:space="preserve">Although </w:t>
      </w:r>
      <w:r w:rsidR="009A1364">
        <w:rPr>
          <w:lang w:val="en-GB"/>
        </w:rPr>
        <w:t>these courts can contribute to an effective and more tailor-made resolution of complex and international business disputes</w:t>
      </w:r>
      <w:r w:rsidR="00530F91">
        <w:rPr>
          <w:lang w:val="en-GB"/>
        </w:rPr>
        <w:t>,</w:t>
      </w:r>
      <w:r w:rsidR="009A1364">
        <w:rPr>
          <w:lang w:val="en-GB"/>
        </w:rPr>
        <w:t xml:space="preserve"> </w:t>
      </w:r>
      <w:r>
        <w:rPr>
          <w:lang w:val="en-GB"/>
        </w:rPr>
        <w:t xml:space="preserve">they </w:t>
      </w:r>
      <w:r w:rsidR="009A1364">
        <w:rPr>
          <w:lang w:val="en-GB"/>
        </w:rPr>
        <w:t>also create new challenges for judges, litigants</w:t>
      </w:r>
      <w:r w:rsidR="00530F91">
        <w:rPr>
          <w:lang w:val="en-GB"/>
        </w:rPr>
        <w:t>,</w:t>
      </w:r>
      <w:r w:rsidR="009A1364">
        <w:rPr>
          <w:lang w:val="en-GB"/>
        </w:rPr>
        <w:t xml:space="preserve"> and the civil justice system as a whole.</w:t>
      </w:r>
      <w:r w:rsidR="009A1364" w:rsidRPr="008D0606">
        <w:rPr>
          <w:lang w:val="en-GB"/>
        </w:rPr>
        <w:t xml:space="preserve"> </w:t>
      </w:r>
      <w:r w:rsidR="009A1364" w:rsidRPr="00047DEA">
        <w:rPr>
          <w:lang w:val="en-GB"/>
        </w:rPr>
        <w:t xml:space="preserve">The objective is to </w:t>
      </w:r>
      <w:r w:rsidR="009A1364">
        <w:rPr>
          <w:lang w:val="en-GB"/>
        </w:rPr>
        <w:t>discuss these initiatives</w:t>
      </w:r>
      <w:r>
        <w:rPr>
          <w:lang w:val="en-GB"/>
        </w:rPr>
        <w:t>,</w:t>
      </w:r>
      <w:r w:rsidR="009A1364">
        <w:rPr>
          <w:lang w:val="en-GB"/>
        </w:rPr>
        <w:t xml:space="preserve"> in particular the novelties </w:t>
      </w:r>
      <w:r w:rsidR="006E6CE1">
        <w:rPr>
          <w:lang w:val="en-GB"/>
        </w:rPr>
        <w:t>in the</w:t>
      </w:r>
      <w:r w:rsidR="009A1364">
        <w:rPr>
          <w:lang w:val="en-GB"/>
        </w:rPr>
        <w:t xml:space="preserve"> court administration and the procedural rules</w:t>
      </w:r>
      <w:r>
        <w:rPr>
          <w:lang w:val="en-GB"/>
        </w:rPr>
        <w:t xml:space="preserve">; </w:t>
      </w:r>
      <w:r w:rsidR="009A1364">
        <w:rPr>
          <w:lang w:val="en-GB"/>
        </w:rPr>
        <w:t>to exchange views on the possible impact on international commercial and complex litigation</w:t>
      </w:r>
      <w:r>
        <w:rPr>
          <w:lang w:val="en-GB"/>
        </w:rPr>
        <w:t xml:space="preserve">; </w:t>
      </w:r>
      <w:r w:rsidR="009A1364">
        <w:rPr>
          <w:lang w:val="en-GB"/>
        </w:rPr>
        <w:t>and to reflect on the challenges ahead.</w:t>
      </w:r>
      <w:r w:rsidR="009A1364" w:rsidRPr="008D0606">
        <w:rPr>
          <w:lang w:val="en-GB"/>
        </w:rPr>
        <w:t xml:space="preserve"> </w:t>
      </w:r>
      <w:r w:rsidR="009A1364">
        <w:rPr>
          <w:lang w:val="en-GB"/>
        </w:rPr>
        <w:t xml:space="preserve">The seminar will </w:t>
      </w:r>
      <w:r w:rsidR="001E7FB6">
        <w:rPr>
          <w:lang w:val="en-GB"/>
        </w:rPr>
        <w:t>bring</w:t>
      </w:r>
      <w:r w:rsidR="001E7FB6" w:rsidRPr="00047DEA">
        <w:rPr>
          <w:lang w:val="en-GB"/>
        </w:rPr>
        <w:t xml:space="preserve"> </w:t>
      </w:r>
      <w:r w:rsidR="00575CD2">
        <w:rPr>
          <w:lang w:val="en-GB"/>
        </w:rPr>
        <w:t xml:space="preserve">together </w:t>
      </w:r>
      <w:r w:rsidR="006E6CE1" w:rsidRPr="00047DEA">
        <w:rPr>
          <w:lang w:val="en-GB"/>
        </w:rPr>
        <w:t>academics</w:t>
      </w:r>
      <w:r w:rsidR="006E6CE1">
        <w:rPr>
          <w:lang w:val="en-GB"/>
        </w:rPr>
        <w:t>, policy makers, practi</w:t>
      </w:r>
      <w:r w:rsidR="00530F91" w:rsidRPr="00047DEA">
        <w:rPr>
          <w:lang w:val="en-GB"/>
        </w:rPr>
        <w:t>tioners</w:t>
      </w:r>
      <w:r w:rsidR="00530F91">
        <w:rPr>
          <w:lang w:val="en-GB"/>
        </w:rPr>
        <w:t>,</w:t>
      </w:r>
      <w:r w:rsidR="00530F91" w:rsidRPr="00047DEA">
        <w:rPr>
          <w:lang w:val="en-GB"/>
        </w:rPr>
        <w:t xml:space="preserve"> </w:t>
      </w:r>
      <w:r w:rsidR="006E6CE1">
        <w:rPr>
          <w:lang w:val="en-GB"/>
        </w:rPr>
        <w:t xml:space="preserve">business </w:t>
      </w:r>
      <w:r w:rsidR="009A1364" w:rsidRPr="00047DEA">
        <w:rPr>
          <w:lang w:val="en-GB"/>
        </w:rPr>
        <w:t xml:space="preserve">representatives </w:t>
      </w:r>
      <w:r w:rsidR="009A1364">
        <w:rPr>
          <w:lang w:val="en-GB"/>
        </w:rPr>
        <w:t>from</w:t>
      </w:r>
      <w:r w:rsidR="009A1364" w:rsidRPr="00047DEA">
        <w:rPr>
          <w:lang w:val="en-GB"/>
        </w:rPr>
        <w:t xml:space="preserve"> </w:t>
      </w:r>
      <w:r w:rsidR="009A1364">
        <w:rPr>
          <w:lang w:val="en-GB"/>
        </w:rPr>
        <w:t xml:space="preserve">different </w:t>
      </w:r>
      <w:r w:rsidR="009A1364" w:rsidRPr="00047DEA">
        <w:rPr>
          <w:lang w:val="en-GB"/>
        </w:rPr>
        <w:t>Member States.</w:t>
      </w:r>
    </w:p>
    <w:p w:rsidR="009A1364" w:rsidRDefault="009A1364" w:rsidP="00E0197F">
      <w:pPr>
        <w:spacing w:line="288" w:lineRule="auto"/>
        <w:jc w:val="both"/>
        <w:rPr>
          <w:lang w:val="en-GB"/>
        </w:rPr>
      </w:pPr>
    </w:p>
    <w:p w:rsidR="009A1364" w:rsidRPr="00BE77BF" w:rsidRDefault="009A1364" w:rsidP="00E0197F">
      <w:pPr>
        <w:spacing w:line="288" w:lineRule="auto"/>
        <w:outlineLvl w:val="0"/>
        <w:rPr>
          <w:lang w:val="en-GB"/>
        </w:rPr>
      </w:pPr>
      <w:r w:rsidRPr="00BE77BF">
        <w:rPr>
          <w:b/>
          <w:lang w:val="en-GB"/>
        </w:rPr>
        <w:t>When?</w:t>
      </w:r>
      <w:r w:rsidRPr="00BE77BF">
        <w:rPr>
          <w:lang w:val="en-GB"/>
        </w:rPr>
        <w:t xml:space="preserve"> Tuesday 10 July 2018, from 13.30 till 18.30 hrs</w:t>
      </w:r>
    </w:p>
    <w:p w:rsidR="009A1364" w:rsidRPr="00BE77BF" w:rsidRDefault="009A1364" w:rsidP="00E0197F">
      <w:pPr>
        <w:spacing w:line="288" w:lineRule="auto"/>
        <w:outlineLvl w:val="0"/>
        <w:rPr>
          <w:lang w:val="en-GB"/>
        </w:rPr>
      </w:pPr>
      <w:r w:rsidRPr="00BE77BF">
        <w:rPr>
          <w:b/>
          <w:lang w:val="en-GB"/>
        </w:rPr>
        <w:t>Where?</w:t>
      </w:r>
      <w:r w:rsidRPr="00BE77BF">
        <w:rPr>
          <w:lang w:val="en-GB"/>
        </w:rPr>
        <w:t xml:space="preserve"> Erasmus School of Law, </w:t>
      </w:r>
      <w:r w:rsidR="005261B1" w:rsidRPr="00BE77BF">
        <w:rPr>
          <w:lang w:val="en-GB"/>
        </w:rPr>
        <w:t xml:space="preserve">Erasmus University </w:t>
      </w:r>
      <w:r w:rsidRPr="00BE77BF">
        <w:rPr>
          <w:lang w:val="en-GB"/>
        </w:rPr>
        <w:t>Rotterdam (</w:t>
      </w:r>
      <w:r w:rsidR="00575CD2" w:rsidRPr="00BE77BF">
        <w:rPr>
          <w:lang w:val="en-GB"/>
        </w:rPr>
        <w:t xml:space="preserve">Room </w:t>
      </w:r>
      <w:r w:rsidRPr="00BE77BF">
        <w:rPr>
          <w:lang w:val="en-GB"/>
        </w:rPr>
        <w:t>CT-1)</w:t>
      </w:r>
    </w:p>
    <w:p w:rsidR="009A1364" w:rsidRDefault="009A1364" w:rsidP="00E0197F">
      <w:pPr>
        <w:spacing w:line="288" w:lineRule="auto"/>
        <w:jc w:val="both"/>
        <w:rPr>
          <w:lang w:val="en-GB"/>
        </w:rPr>
      </w:pPr>
      <w:r w:rsidRPr="00BE77BF">
        <w:rPr>
          <w:b/>
          <w:lang w:val="en-GB"/>
        </w:rPr>
        <w:t>For whom?</w:t>
      </w:r>
      <w:r w:rsidRPr="00BE77BF">
        <w:rPr>
          <w:lang w:val="en-GB"/>
        </w:rPr>
        <w:t xml:space="preserve"> Practitioners, policymakers</w:t>
      </w:r>
      <w:r w:rsidR="00530F91" w:rsidRPr="00BE77BF">
        <w:rPr>
          <w:lang w:val="en-GB"/>
        </w:rPr>
        <w:t>,</w:t>
      </w:r>
      <w:r w:rsidRPr="00BE77BF">
        <w:rPr>
          <w:lang w:val="en-GB"/>
        </w:rPr>
        <w:t xml:space="preserve"> and academics </w:t>
      </w:r>
      <w:r w:rsidR="00A426A4" w:rsidRPr="00BE77BF">
        <w:rPr>
          <w:lang w:val="en-GB"/>
        </w:rPr>
        <w:t>that</w:t>
      </w:r>
      <w:r w:rsidR="00530F91" w:rsidRPr="00BE77BF">
        <w:rPr>
          <w:lang w:val="en-GB"/>
        </w:rPr>
        <w:t xml:space="preserve"> have </w:t>
      </w:r>
      <w:r w:rsidRPr="00BE77BF">
        <w:rPr>
          <w:lang w:val="en-GB"/>
        </w:rPr>
        <w:t>an interest in the recent developments</w:t>
      </w:r>
      <w:r>
        <w:rPr>
          <w:lang w:val="en-GB"/>
        </w:rPr>
        <w:t xml:space="preserve"> of internation</w:t>
      </w:r>
      <w:bookmarkStart w:id="0" w:name="_GoBack"/>
      <w:bookmarkEnd w:id="0"/>
      <w:r>
        <w:rPr>
          <w:lang w:val="en-GB"/>
        </w:rPr>
        <w:t>al commercial courts in the EU</w:t>
      </w:r>
      <w:r w:rsidR="00575CD2">
        <w:rPr>
          <w:lang w:val="en-GB"/>
        </w:rPr>
        <w:t>,</w:t>
      </w:r>
      <w:r>
        <w:rPr>
          <w:lang w:val="en-GB"/>
        </w:rPr>
        <w:t xml:space="preserve"> and </w:t>
      </w:r>
      <w:r w:rsidR="00530F91">
        <w:rPr>
          <w:lang w:val="en-GB"/>
        </w:rPr>
        <w:t xml:space="preserve">in </w:t>
      </w:r>
      <w:r>
        <w:rPr>
          <w:lang w:val="en-GB"/>
        </w:rPr>
        <w:t>the challenges they may pose.</w:t>
      </w:r>
    </w:p>
    <w:p w:rsidR="00CF1C4C" w:rsidRDefault="00CF1C4C" w:rsidP="00E0197F">
      <w:pPr>
        <w:spacing w:line="288" w:lineRule="auto"/>
        <w:jc w:val="both"/>
        <w:rPr>
          <w:lang w:val="en-GB"/>
        </w:rPr>
      </w:pPr>
    </w:p>
    <w:sectPr w:rsidR="00CF1C4C" w:rsidSect="005B13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026"/>
    <w:multiLevelType w:val="hybridMultilevel"/>
    <w:tmpl w:val="9B385E10"/>
    <w:lvl w:ilvl="0" w:tplc="748A4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598C"/>
    <w:multiLevelType w:val="multilevel"/>
    <w:tmpl w:val="569E6990"/>
    <w:lvl w:ilvl="0">
      <w:start w:val="12"/>
      <w:numFmt w:val="decimal"/>
      <w:lvlText w:val="%1"/>
      <w:lvlJc w:val="left"/>
      <w:pPr>
        <w:ind w:left="732" w:hanging="732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732" w:hanging="732"/>
      </w:pPr>
      <w:rPr>
        <w:rFonts w:cs="Times New Roman" w:hint="default"/>
      </w:rPr>
    </w:lvl>
    <w:lvl w:ilvl="2">
      <w:start w:val="30"/>
      <w:numFmt w:val="decimal"/>
      <w:lvlText w:val="%1-%2.%3"/>
      <w:lvlJc w:val="left"/>
      <w:pPr>
        <w:ind w:left="732" w:hanging="732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32" w:hanging="732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B3"/>
    <w:rsid w:val="00007603"/>
    <w:rsid w:val="00047DEA"/>
    <w:rsid w:val="000919F5"/>
    <w:rsid w:val="000D49C4"/>
    <w:rsid w:val="000F0DD2"/>
    <w:rsid w:val="00115D54"/>
    <w:rsid w:val="001229A0"/>
    <w:rsid w:val="0014496B"/>
    <w:rsid w:val="00146A57"/>
    <w:rsid w:val="00166345"/>
    <w:rsid w:val="00166926"/>
    <w:rsid w:val="00182BDB"/>
    <w:rsid w:val="001914F0"/>
    <w:rsid w:val="0019484C"/>
    <w:rsid w:val="001A4B3C"/>
    <w:rsid w:val="001C5568"/>
    <w:rsid w:val="001C6279"/>
    <w:rsid w:val="001D4CB8"/>
    <w:rsid w:val="001E7FB6"/>
    <w:rsid w:val="002413B2"/>
    <w:rsid w:val="00271326"/>
    <w:rsid w:val="00283D9E"/>
    <w:rsid w:val="00292D3F"/>
    <w:rsid w:val="002C114E"/>
    <w:rsid w:val="002D2DD4"/>
    <w:rsid w:val="002F5499"/>
    <w:rsid w:val="00303BF5"/>
    <w:rsid w:val="003057A0"/>
    <w:rsid w:val="00317FC0"/>
    <w:rsid w:val="003412FA"/>
    <w:rsid w:val="00382180"/>
    <w:rsid w:val="003963D4"/>
    <w:rsid w:val="003A1A7B"/>
    <w:rsid w:val="003C3FC5"/>
    <w:rsid w:val="003F0203"/>
    <w:rsid w:val="00407A2E"/>
    <w:rsid w:val="0044235C"/>
    <w:rsid w:val="00487F99"/>
    <w:rsid w:val="004C3E77"/>
    <w:rsid w:val="00510B2B"/>
    <w:rsid w:val="00516253"/>
    <w:rsid w:val="00522DCE"/>
    <w:rsid w:val="005261B1"/>
    <w:rsid w:val="00530F91"/>
    <w:rsid w:val="00543AA9"/>
    <w:rsid w:val="00565D98"/>
    <w:rsid w:val="00575CD2"/>
    <w:rsid w:val="00576A51"/>
    <w:rsid w:val="005B1339"/>
    <w:rsid w:val="005C0537"/>
    <w:rsid w:val="006078DF"/>
    <w:rsid w:val="00614D6B"/>
    <w:rsid w:val="00640C60"/>
    <w:rsid w:val="00667E80"/>
    <w:rsid w:val="006834E6"/>
    <w:rsid w:val="006948B8"/>
    <w:rsid w:val="006E6CE1"/>
    <w:rsid w:val="00730629"/>
    <w:rsid w:val="00740B39"/>
    <w:rsid w:val="00792D37"/>
    <w:rsid w:val="0079791A"/>
    <w:rsid w:val="007C1679"/>
    <w:rsid w:val="007C7E68"/>
    <w:rsid w:val="007E49B3"/>
    <w:rsid w:val="007E64B6"/>
    <w:rsid w:val="007E78C9"/>
    <w:rsid w:val="007F6D55"/>
    <w:rsid w:val="0081275D"/>
    <w:rsid w:val="00813B4D"/>
    <w:rsid w:val="00822F5A"/>
    <w:rsid w:val="00870B07"/>
    <w:rsid w:val="00872A49"/>
    <w:rsid w:val="008D0606"/>
    <w:rsid w:val="008D6F52"/>
    <w:rsid w:val="008E0E43"/>
    <w:rsid w:val="008F6432"/>
    <w:rsid w:val="009053F4"/>
    <w:rsid w:val="009A1364"/>
    <w:rsid w:val="009A40C8"/>
    <w:rsid w:val="009B0E2C"/>
    <w:rsid w:val="009B2BB2"/>
    <w:rsid w:val="009E2269"/>
    <w:rsid w:val="009F1397"/>
    <w:rsid w:val="00A00C7F"/>
    <w:rsid w:val="00A256F1"/>
    <w:rsid w:val="00A34707"/>
    <w:rsid w:val="00A426A4"/>
    <w:rsid w:val="00A51042"/>
    <w:rsid w:val="00A90CB1"/>
    <w:rsid w:val="00AA0C7C"/>
    <w:rsid w:val="00AC1AA7"/>
    <w:rsid w:val="00AF4473"/>
    <w:rsid w:val="00B44E0C"/>
    <w:rsid w:val="00B4639E"/>
    <w:rsid w:val="00B71587"/>
    <w:rsid w:val="00B8555D"/>
    <w:rsid w:val="00B90352"/>
    <w:rsid w:val="00BA03EB"/>
    <w:rsid w:val="00BE77BF"/>
    <w:rsid w:val="00C27DED"/>
    <w:rsid w:val="00C502CB"/>
    <w:rsid w:val="00C77B07"/>
    <w:rsid w:val="00CF0D6B"/>
    <w:rsid w:val="00CF1C4C"/>
    <w:rsid w:val="00D17BB3"/>
    <w:rsid w:val="00D4231A"/>
    <w:rsid w:val="00D533CB"/>
    <w:rsid w:val="00D6307D"/>
    <w:rsid w:val="00E0197F"/>
    <w:rsid w:val="00EC4FE8"/>
    <w:rsid w:val="00F060CC"/>
    <w:rsid w:val="00F44986"/>
    <w:rsid w:val="00F93935"/>
    <w:rsid w:val="00F9528B"/>
    <w:rsid w:val="00FA51D9"/>
    <w:rsid w:val="00FB005D"/>
    <w:rsid w:val="00FB7812"/>
    <w:rsid w:val="00FD6F30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656C5463-AA0E-4582-910F-7CC0E929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6F5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C1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1AA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1A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1A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1AA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1A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1AA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82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lu/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civiljustic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.nl/en/es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u.nl/en/research/montaigne-centre-for-judicial-administration-and-conflict-resolution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BIARD</dc:creator>
  <cp:keywords/>
  <dc:description/>
  <cp:lastModifiedBy>Xandra Kramer</cp:lastModifiedBy>
  <cp:revision>7</cp:revision>
  <dcterms:created xsi:type="dcterms:W3CDTF">2018-04-12T20:08:00Z</dcterms:created>
  <dcterms:modified xsi:type="dcterms:W3CDTF">2018-04-12T20:35:00Z</dcterms:modified>
</cp:coreProperties>
</file>